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76AC" w14:textId="77777777" w:rsidR="00E56D6F" w:rsidRDefault="000C786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8"/>
          <w:szCs w:val="28"/>
        </w:rPr>
        <w:t>公益財団法人いばらき腎臓財団</w:t>
      </w:r>
      <w:r w:rsidR="00E56D6F">
        <w:rPr>
          <w:rFonts w:ascii="ＭＳ 明朝" w:hAnsi="ＭＳ 明朝" w:hint="eastAsia"/>
          <w:spacing w:val="17"/>
          <w:sz w:val="28"/>
          <w:szCs w:val="28"/>
        </w:rPr>
        <w:t>退職金規程</w:t>
      </w:r>
    </w:p>
    <w:p w14:paraId="70448AFC" w14:textId="77777777" w:rsidR="00E56D6F" w:rsidRDefault="00E56D6F">
      <w:pPr>
        <w:pStyle w:val="a3"/>
        <w:rPr>
          <w:spacing w:val="0"/>
        </w:rPr>
      </w:pPr>
    </w:p>
    <w:p w14:paraId="1094D1F9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第１条　</w:t>
      </w:r>
      <w:r w:rsidR="000C7861">
        <w:rPr>
          <w:rFonts w:ascii="ＭＳ 明朝" w:hAnsi="ＭＳ 明朝" w:hint="eastAsia"/>
          <w:spacing w:val="14"/>
          <w:sz w:val="24"/>
          <w:szCs w:val="24"/>
        </w:rPr>
        <w:t>公益財団法人いばらき腎臓財団</w:t>
      </w:r>
      <w:r>
        <w:rPr>
          <w:rFonts w:ascii="ＭＳ 明朝" w:hAnsi="ＭＳ 明朝" w:hint="eastAsia"/>
          <w:spacing w:val="14"/>
          <w:sz w:val="24"/>
          <w:szCs w:val="24"/>
        </w:rPr>
        <w:t>（以下「財団」という。）の従業員（財団に専ら勤務し，１年を超えて勤務する者に限る。）が退職したときは，この規程により退職金を支給する。</w:t>
      </w:r>
    </w:p>
    <w:p w14:paraId="3847EAA4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>２　前項の退職金の支給は，財団が各従業員について勤労者退職金共済機構・中小企業退職金共済事業本部（以下「機構・中退共本部」という。）との間に退職金共済契約を締結することによって行うものとする。</w:t>
      </w:r>
    </w:p>
    <w:p w14:paraId="3A015D5C" w14:textId="77777777" w:rsidR="00E56D6F" w:rsidRDefault="00E56D6F">
      <w:pPr>
        <w:pStyle w:val="a3"/>
        <w:rPr>
          <w:spacing w:val="0"/>
        </w:rPr>
      </w:pPr>
    </w:p>
    <w:p w14:paraId="61676CB5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第２条　</w:t>
      </w:r>
      <w:r w:rsidR="004E26BD">
        <w:rPr>
          <w:rFonts w:ascii="ＭＳ 明朝" w:hAnsi="ＭＳ 明朝" w:hint="eastAsia"/>
          <w:spacing w:val="14"/>
          <w:sz w:val="24"/>
          <w:szCs w:val="24"/>
        </w:rPr>
        <w:t>新たに雇い入れた従業員については，試用期間を経過し，本採用とな</w:t>
      </w:r>
      <w:r>
        <w:rPr>
          <w:rFonts w:ascii="ＭＳ 明朝" w:hAnsi="ＭＳ 明朝" w:hint="eastAsia"/>
          <w:spacing w:val="14"/>
          <w:sz w:val="24"/>
          <w:szCs w:val="24"/>
        </w:rPr>
        <w:t>った月に機構・中退共本部と退職金共済契約を締結する。</w:t>
      </w:r>
    </w:p>
    <w:p w14:paraId="57C2573C" w14:textId="77777777" w:rsidR="00E56D6F" w:rsidRDefault="00E56D6F">
      <w:pPr>
        <w:pStyle w:val="a3"/>
        <w:rPr>
          <w:spacing w:val="0"/>
        </w:rPr>
      </w:pPr>
    </w:p>
    <w:p w14:paraId="55997FD3" w14:textId="34585C93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第３条　</w:t>
      </w:r>
      <w:r w:rsidR="004E26BD">
        <w:rPr>
          <w:rFonts w:ascii="ＭＳ 明朝" w:hAnsi="ＭＳ 明朝" w:hint="eastAsia"/>
          <w:spacing w:val="14"/>
          <w:sz w:val="24"/>
          <w:szCs w:val="24"/>
        </w:rPr>
        <w:t>退職金共済契約は，従業員ごとに，その基本給の額に応じ，別表</w:t>
      </w:r>
      <w:r w:rsidR="00DD2BAF">
        <w:rPr>
          <w:rFonts w:ascii="ＭＳ 明朝" w:hAnsi="ＭＳ 明朝" w:hint="eastAsia"/>
          <w:spacing w:val="14"/>
          <w:sz w:val="24"/>
          <w:szCs w:val="24"/>
        </w:rPr>
        <w:t>1</w:t>
      </w:r>
      <w:r w:rsidR="004E26BD">
        <w:rPr>
          <w:rFonts w:ascii="ＭＳ 明朝" w:hAnsi="ＭＳ 明朝" w:hint="eastAsia"/>
          <w:spacing w:val="14"/>
          <w:sz w:val="24"/>
          <w:szCs w:val="24"/>
        </w:rPr>
        <w:t>に定</w:t>
      </w:r>
      <w:r>
        <w:rPr>
          <w:rFonts w:ascii="ＭＳ 明朝" w:hAnsi="ＭＳ 明朝" w:hint="eastAsia"/>
          <w:spacing w:val="14"/>
          <w:sz w:val="24"/>
          <w:szCs w:val="24"/>
        </w:rPr>
        <w:t>める掛金月額によって締結し，毎年４月に掛金を調整する。</w:t>
      </w:r>
    </w:p>
    <w:p w14:paraId="7CC9921F" w14:textId="77777777" w:rsidR="00E56D6F" w:rsidRDefault="00E56D6F">
      <w:pPr>
        <w:pStyle w:val="a3"/>
        <w:rPr>
          <w:spacing w:val="0"/>
        </w:rPr>
      </w:pPr>
    </w:p>
    <w:p w14:paraId="5BF7B29C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>第４条　退職金の額は，掛金月額と掛金納付月数に応じ中小</w:t>
      </w:r>
      <w:r w:rsidR="004E26BD">
        <w:rPr>
          <w:rFonts w:ascii="ＭＳ 明朝" w:hAnsi="ＭＳ 明朝" w:hint="eastAsia"/>
          <w:spacing w:val="14"/>
          <w:sz w:val="24"/>
          <w:szCs w:val="24"/>
        </w:rPr>
        <w:t>企業退職金共済法</w:t>
      </w:r>
      <w:r>
        <w:rPr>
          <w:rFonts w:ascii="ＭＳ 明朝" w:hAnsi="ＭＳ 明朝" w:hint="eastAsia"/>
          <w:spacing w:val="14"/>
          <w:sz w:val="24"/>
          <w:szCs w:val="24"/>
        </w:rPr>
        <w:t>施行令に定められた額とする。</w:t>
      </w:r>
    </w:p>
    <w:p w14:paraId="488BF48C" w14:textId="77777777" w:rsidR="00E56D6F" w:rsidRDefault="00E56D6F">
      <w:pPr>
        <w:pStyle w:val="a3"/>
        <w:rPr>
          <w:spacing w:val="0"/>
        </w:rPr>
      </w:pPr>
    </w:p>
    <w:p w14:paraId="3C316B96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第５条　</w:t>
      </w:r>
      <w:r w:rsidR="004E26BD">
        <w:rPr>
          <w:rFonts w:ascii="ＭＳ 明朝" w:hAnsi="ＭＳ 明朝" w:hint="eastAsia"/>
          <w:spacing w:val="14"/>
          <w:sz w:val="24"/>
          <w:szCs w:val="24"/>
        </w:rPr>
        <w:t>従業員が懲戒解雇をされた場合には，機構・中退共本部に退職金の減</w:t>
      </w:r>
      <w:r>
        <w:rPr>
          <w:rFonts w:ascii="ＭＳ 明朝" w:hAnsi="ＭＳ 明朝" w:hint="eastAsia"/>
          <w:spacing w:val="14"/>
          <w:sz w:val="24"/>
          <w:szCs w:val="24"/>
        </w:rPr>
        <w:t>額を申し出ることがある。</w:t>
      </w:r>
    </w:p>
    <w:p w14:paraId="4EF93355" w14:textId="77777777" w:rsidR="00E56D6F" w:rsidRDefault="00E56D6F">
      <w:pPr>
        <w:pStyle w:val="a3"/>
        <w:rPr>
          <w:spacing w:val="0"/>
        </w:rPr>
      </w:pPr>
    </w:p>
    <w:p w14:paraId="4933158D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第６条　</w:t>
      </w:r>
      <w:r w:rsidR="004E26BD">
        <w:rPr>
          <w:rFonts w:ascii="ＭＳ 明朝" w:hAnsi="ＭＳ 明朝" w:hint="eastAsia"/>
          <w:spacing w:val="14"/>
          <w:sz w:val="24"/>
          <w:szCs w:val="24"/>
        </w:rPr>
        <w:t>退職金は，従業員（従業員が死亡したときは遺族）に交付する退職金</w:t>
      </w:r>
      <w:r>
        <w:rPr>
          <w:rFonts w:ascii="ＭＳ 明朝" w:hAnsi="ＭＳ 明朝" w:hint="eastAsia"/>
          <w:spacing w:val="14"/>
          <w:sz w:val="24"/>
          <w:szCs w:val="24"/>
        </w:rPr>
        <w:t>共済手帳により，機構・中退共本部から支給を受けるものとする。</w:t>
      </w:r>
    </w:p>
    <w:p w14:paraId="47CE9B9D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>２　従業</w:t>
      </w:r>
      <w:r w:rsidR="004E26BD">
        <w:rPr>
          <w:rFonts w:ascii="ＭＳ 明朝" w:hAnsi="ＭＳ 明朝" w:hint="eastAsia"/>
          <w:spacing w:val="14"/>
          <w:sz w:val="24"/>
          <w:szCs w:val="24"/>
        </w:rPr>
        <w:t>員が退職又は死亡したときは，やむを得ない理由がある場合を除き，</w:t>
      </w:r>
      <w:r>
        <w:rPr>
          <w:rFonts w:ascii="ＭＳ 明朝" w:hAnsi="ＭＳ 明朝" w:hint="eastAsia"/>
          <w:spacing w:val="14"/>
          <w:sz w:val="24"/>
          <w:szCs w:val="24"/>
        </w:rPr>
        <w:t>本人又</w:t>
      </w:r>
      <w:r w:rsidR="004E26BD">
        <w:rPr>
          <w:rFonts w:ascii="ＭＳ 明朝" w:hAnsi="ＭＳ 明朝" w:hint="eastAsia"/>
          <w:spacing w:val="14"/>
          <w:sz w:val="24"/>
          <w:szCs w:val="24"/>
        </w:rPr>
        <w:t>は遺族が遅滞なく退職金を請求できるよう，すみやかに退職金共済手</w:t>
      </w:r>
      <w:r>
        <w:rPr>
          <w:rFonts w:ascii="ＭＳ 明朝" w:hAnsi="ＭＳ 明朝" w:hint="eastAsia"/>
          <w:spacing w:val="14"/>
          <w:sz w:val="24"/>
          <w:szCs w:val="24"/>
        </w:rPr>
        <w:t>帳を本人又は遺族に交付する。</w:t>
      </w:r>
    </w:p>
    <w:p w14:paraId="5C34A442" w14:textId="77777777" w:rsidR="00E56D6F" w:rsidRDefault="00E56D6F">
      <w:pPr>
        <w:pStyle w:val="a3"/>
        <w:rPr>
          <w:spacing w:val="0"/>
        </w:rPr>
      </w:pPr>
    </w:p>
    <w:p w14:paraId="6A8E6A17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>第７条　この規程は，関係諸法規の改正及び社会事情の変化</w:t>
      </w:r>
      <w:r w:rsidR="004E26BD">
        <w:rPr>
          <w:rFonts w:ascii="ＭＳ 明朝" w:hAnsi="ＭＳ 明朝" w:hint="eastAsia"/>
          <w:spacing w:val="14"/>
          <w:sz w:val="24"/>
          <w:szCs w:val="24"/>
        </w:rPr>
        <w:t>などにより必要が</w:t>
      </w:r>
      <w:r>
        <w:rPr>
          <w:rFonts w:ascii="ＭＳ 明朝" w:hAnsi="ＭＳ 明朝" w:hint="eastAsia"/>
          <w:spacing w:val="14"/>
          <w:sz w:val="24"/>
          <w:szCs w:val="24"/>
        </w:rPr>
        <w:t>ある場合には，従業員代表と協議のうえ改廃することができる。</w:t>
      </w:r>
    </w:p>
    <w:p w14:paraId="7488E6B1" w14:textId="77777777" w:rsidR="00E56D6F" w:rsidRDefault="00E56D6F">
      <w:pPr>
        <w:pStyle w:val="a3"/>
        <w:rPr>
          <w:spacing w:val="0"/>
        </w:rPr>
      </w:pPr>
    </w:p>
    <w:p w14:paraId="43071B8C" w14:textId="77777777" w:rsidR="00E56D6F" w:rsidRDefault="00E56D6F">
      <w:pPr>
        <w:pStyle w:val="a3"/>
        <w:rPr>
          <w:spacing w:val="0"/>
        </w:rPr>
      </w:pPr>
    </w:p>
    <w:p w14:paraId="02B89E75" w14:textId="77777777" w:rsidR="007A6329" w:rsidRDefault="00F92AEA" w:rsidP="00F92AEA">
      <w:pPr>
        <w:pStyle w:val="a3"/>
        <w:rPr>
          <w:rFonts w:ascii="ＭＳ 明朝" w:hAnsi="ＭＳ 明朝"/>
          <w:spacing w:val="14"/>
          <w:sz w:val="24"/>
          <w:szCs w:val="24"/>
        </w:rPr>
      </w:pPr>
      <w:r>
        <w:rPr>
          <w:rFonts w:ascii="ＭＳ 明朝" w:hAnsi="ＭＳ 明朝" w:hint="eastAsia"/>
          <w:spacing w:val="14"/>
          <w:sz w:val="24"/>
          <w:szCs w:val="24"/>
        </w:rPr>
        <w:t>＜</w:t>
      </w:r>
      <w:r w:rsidR="00E56D6F">
        <w:rPr>
          <w:rFonts w:ascii="ＭＳ 明朝" w:hAnsi="ＭＳ 明朝" w:hint="eastAsia"/>
          <w:spacing w:val="14"/>
          <w:sz w:val="24"/>
          <w:szCs w:val="24"/>
        </w:rPr>
        <w:t>附　則</w:t>
      </w:r>
      <w:r>
        <w:rPr>
          <w:rFonts w:ascii="ＭＳ 明朝" w:hAnsi="ＭＳ 明朝" w:hint="eastAsia"/>
          <w:spacing w:val="14"/>
          <w:sz w:val="24"/>
          <w:szCs w:val="24"/>
        </w:rPr>
        <w:t>＞</w:t>
      </w:r>
    </w:p>
    <w:p w14:paraId="7FA3A4C0" w14:textId="77777777" w:rsidR="00F92AEA" w:rsidRDefault="00F92AEA" w:rsidP="00F92AEA">
      <w:pPr>
        <w:pStyle w:val="a3"/>
        <w:rPr>
          <w:rFonts w:ascii="ＭＳ 明朝" w:hAnsi="ＭＳ 明朝"/>
          <w:spacing w:val="14"/>
          <w:sz w:val="24"/>
          <w:szCs w:val="24"/>
        </w:rPr>
      </w:pPr>
    </w:p>
    <w:p w14:paraId="43F44713" w14:textId="77777777" w:rsidR="00F92AEA" w:rsidRDefault="0041347C" w:rsidP="00DC4968">
      <w:pPr>
        <w:pStyle w:val="a3"/>
        <w:rPr>
          <w:rFonts w:ascii="ＭＳ 明朝" w:hAnsi="ＭＳ 明朝"/>
          <w:spacing w:val="14"/>
          <w:sz w:val="24"/>
          <w:szCs w:val="24"/>
        </w:rPr>
      </w:pPr>
      <w:r>
        <w:rPr>
          <w:rFonts w:ascii="ＭＳ 明朝" w:hAnsi="ＭＳ 明朝" w:hint="eastAsia"/>
          <w:spacing w:val="14"/>
          <w:sz w:val="24"/>
          <w:szCs w:val="24"/>
        </w:rPr>
        <w:t>1.</w:t>
      </w:r>
      <w:r w:rsidR="00DC4968">
        <w:rPr>
          <w:rFonts w:ascii="ＭＳ 明朝" w:hAnsi="ＭＳ 明朝" w:hint="eastAsia"/>
          <w:spacing w:val="14"/>
          <w:sz w:val="24"/>
          <w:szCs w:val="24"/>
        </w:rPr>
        <w:t>この規程は，平成１５年７月１日から実施する。</w:t>
      </w:r>
    </w:p>
    <w:p w14:paraId="0D576EE9" w14:textId="77777777" w:rsidR="00DC4968" w:rsidRDefault="0041347C" w:rsidP="00DC4968">
      <w:pPr>
        <w:pStyle w:val="a3"/>
        <w:rPr>
          <w:rFonts w:ascii="ＭＳ 明朝" w:hAnsi="ＭＳ 明朝"/>
          <w:spacing w:val="14"/>
          <w:sz w:val="24"/>
          <w:szCs w:val="24"/>
        </w:rPr>
      </w:pPr>
      <w:r>
        <w:rPr>
          <w:rFonts w:ascii="ＭＳ 明朝" w:hAnsi="ＭＳ 明朝" w:hint="eastAsia"/>
          <w:spacing w:val="14"/>
          <w:sz w:val="24"/>
          <w:szCs w:val="24"/>
        </w:rPr>
        <w:t>2.</w:t>
      </w:r>
      <w:r w:rsidR="00DC4968">
        <w:rPr>
          <w:rFonts w:ascii="ＭＳ 明朝" w:hAnsi="ＭＳ 明朝" w:hint="eastAsia"/>
          <w:spacing w:val="14"/>
          <w:sz w:val="24"/>
          <w:szCs w:val="24"/>
        </w:rPr>
        <w:t>この規程の実施前から在籍している従業員については，勤務年数の応じ過去勤務期間通算の申出を機構・中退共本部に行うものとする。</w:t>
      </w:r>
    </w:p>
    <w:p w14:paraId="6E468D4D" w14:textId="77777777" w:rsidR="0041347C" w:rsidRDefault="0041347C" w:rsidP="00DC4968">
      <w:pPr>
        <w:pStyle w:val="a3"/>
        <w:rPr>
          <w:rFonts w:ascii="ＭＳ 明朝" w:hAnsi="ＭＳ 明朝"/>
          <w:spacing w:val="14"/>
          <w:sz w:val="24"/>
          <w:szCs w:val="24"/>
        </w:rPr>
      </w:pPr>
      <w:r>
        <w:rPr>
          <w:rFonts w:ascii="ＭＳ 明朝" w:hAnsi="ＭＳ 明朝" w:hint="eastAsia"/>
          <w:spacing w:val="14"/>
          <w:sz w:val="24"/>
          <w:szCs w:val="24"/>
        </w:rPr>
        <w:t>3.平成２６年４月１日改正</w:t>
      </w:r>
    </w:p>
    <w:p w14:paraId="23A7A6B4" w14:textId="77777777" w:rsidR="0041347C" w:rsidRDefault="0041347C" w:rsidP="00DC4968">
      <w:pPr>
        <w:pStyle w:val="a3"/>
        <w:rPr>
          <w:rFonts w:ascii="ＭＳ 明朝" w:hAnsi="ＭＳ 明朝"/>
          <w:spacing w:val="14"/>
          <w:sz w:val="24"/>
          <w:szCs w:val="24"/>
        </w:rPr>
      </w:pPr>
    </w:p>
    <w:p w14:paraId="71B3183C" w14:textId="77777777" w:rsidR="00DC4968" w:rsidRDefault="00DC4968" w:rsidP="00DC4968">
      <w:pPr>
        <w:pStyle w:val="a3"/>
        <w:rPr>
          <w:rFonts w:ascii="ＭＳ 明朝" w:hAnsi="ＭＳ 明朝"/>
          <w:spacing w:val="14"/>
          <w:sz w:val="24"/>
          <w:szCs w:val="24"/>
        </w:rPr>
      </w:pPr>
    </w:p>
    <w:p w14:paraId="7EB5B59F" w14:textId="77777777" w:rsidR="007A6329" w:rsidRDefault="007A6329">
      <w:pPr>
        <w:pStyle w:val="a3"/>
        <w:rPr>
          <w:spacing w:val="0"/>
        </w:rPr>
      </w:pPr>
    </w:p>
    <w:p w14:paraId="1C059079" w14:textId="77777777" w:rsidR="00F17EA6" w:rsidRDefault="00F17EA6">
      <w:pPr>
        <w:pStyle w:val="a3"/>
        <w:rPr>
          <w:spacing w:val="0"/>
        </w:rPr>
      </w:pPr>
    </w:p>
    <w:p w14:paraId="1C84213D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>別表１</w:t>
      </w:r>
    </w:p>
    <w:p w14:paraId="13FBEC3E" w14:textId="77777777" w:rsidR="00E56D6F" w:rsidRPr="00F17EA6" w:rsidRDefault="00E56D6F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</w:t>
      </w:r>
      <w:r w:rsidRPr="00F17EA6">
        <w:rPr>
          <w:rFonts w:asciiTheme="minorEastAsia" w:eastAsiaTheme="minorEastAsia" w:hAnsiTheme="minorEastAsia" w:cs="ＭＳ Ｐゴシック" w:hint="eastAsia"/>
        </w:rPr>
        <w:t>掛金月額表</w:t>
      </w:r>
    </w:p>
    <w:p w14:paraId="42A2BA26" w14:textId="77777777" w:rsidR="00E56D6F" w:rsidRDefault="00E56D6F">
      <w:pPr>
        <w:pStyle w:val="a3"/>
        <w:rPr>
          <w:spacing w:val="0"/>
        </w:rPr>
      </w:pPr>
    </w:p>
    <w:tbl>
      <w:tblPr>
        <w:tblW w:w="0" w:type="auto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8"/>
        <w:gridCol w:w="1534"/>
        <w:gridCol w:w="3068"/>
        <w:gridCol w:w="1534"/>
      </w:tblGrid>
      <w:tr w:rsidR="00E56D6F" w:rsidRPr="00F17EA6" w14:paraId="79AFF693" w14:textId="77777777">
        <w:trPr>
          <w:trHeight w:hRule="exact" w:val="36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2369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基本給月額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76AA7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掛金月額</w:t>
            </w:r>
          </w:p>
        </w:tc>
        <w:tc>
          <w:tcPr>
            <w:tcW w:w="3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37E15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</w:rPr>
              <w:t xml:space="preserve">　　　</w:t>
            </w: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基本給月額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8B762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掛金月額</w:t>
            </w:r>
          </w:p>
        </w:tc>
      </w:tr>
      <w:tr w:rsidR="00E56D6F" w:rsidRPr="00F17EA6" w14:paraId="1E0D6E06" w14:textId="77777777">
        <w:trPr>
          <w:trHeight w:hRule="exact" w:val="361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6CA5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</w:rPr>
              <w:t xml:space="preserve">　　　　　</w:t>
            </w:r>
            <w:r w:rsidR="00E63296"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160,000円未満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BF0E7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 xml:space="preserve">　5,000円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5843E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280,000円～320,000円未満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F0C73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9,000円</w:t>
            </w:r>
          </w:p>
        </w:tc>
      </w:tr>
      <w:tr w:rsidR="00E56D6F" w:rsidRPr="00F17EA6" w14:paraId="5375A0C5" w14:textId="77777777">
        <w:trPr>
          <w:trHeight w:hRule="exact" w:val="361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9248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160,000円～200,000円未満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28D2E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6,000円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ED9F4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320,000円～360,000円未満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C40FB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10,000円</w:t>
            </w:r>
          </w:p>
        </w:tc>
      </w:tr>
      <w:tr w:rsidR="00E56D6F" w:rsidRPr="00F17EA6" w14:paraId="012F39D1" w14:textId="77777777">
        <w:trPr>
          <w:trHeight w:hRule="exact" w:val="361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7942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200,000円～240,000円未満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9D510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7,000円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F727F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360,000円～400,000円未満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84801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12,000円</w:t>
            </w:r>
          </w:p>
        </w:tc>
      </w:tr>
      <w:tr w:rsidR="00E56D6F" w:rsidRPr="00F17EA6" w14:paraId="33FBB650" w14:textId="77777777">
        <w:trPr>
          <w:trHeight w:hRule="exact" w:val="361"/>
        </w:trPr>
        <w:tc>
          <w:tcPr>
            <w:tcW w:w="3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A62D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240,000円～280,000円未満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8B602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8,000円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B4FC4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400,000円以上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FFD0D" w14:textId="77777777" w:rsidR="00E56D6F" w:rsidRPr="00F17EA6" w:rsidRDefault="00E56D6F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F17EA6">
              <w:rPr>
                <w:rFonts w:asciiTheme="minorEastAsia" w:eastAsiaTheme="minorEastAsia" w:hAnsiTheme="minorEastAsia" w:cs="ＭＳ Ｐゴシック" w:hint="eastAsia"/>
                <w:spacing w:val="6"/>
              </w:rPr>
              <w:t xml:space="preserve">   </w:t>
            </w:r>
            <w:r w:rsidRPr="00F17EA6">
              <w:rPr>
                <w:rFonts w:asciiTheme="minorEastAsia" w:eastAsiaTheme="minorEastAsia" w:hAnsiTheme="minorEastAsia" w:cs="ＭＳ Ｐゴシック" w:hint="eastAsia"/>
              </w:rPr>
              <w:t>14,000円</w:t>
            </w:r>
          </w:p>
        </w:tc>
      </w:tr>
    </w:tbl>
    <w:p w14:paraId="5A8DE5B1" w14:textId="77777777" w:rsidR="00E56D6F" w:rsidRDefault="00E56D6F">
      <w:pPr>
        <w:pStyle w:val="a3"/>
        <w:rPr>
          <w:spacing w:val="0"/>
        </w:rPr>
      </w:pPr>
    </w:p>
    <w:p w14:paraId="10B18DD9" w14:textId="77777777" w:rsidR="00E56D6F" w:rsidRDefault="00E56D6F">
      <w:pPr>
        <w:pStyle w:val="a3"/>
        <w:rPr>
          <w:spacing w:val="0"/>
        </w:rPr>
      </w:pPr>
    </w:p>
    <w:p w14:paraId="069B6972" w14:textId="77777777" w:rsidR="00E56D6F" w:rsidRDefault="00E56D6F">
      <w:pPr>
        <w:pStyle w:val="a3"/>
        <w:rPr>
          <w:spacing w:val="0"/>
        </w:rPr>
      </w:pPr>
    </w:p>
    <w:p w14:paraId="1328E2F4" w14:textId="77777777" w:rsidR="00E56D6F" w:rsidRDefault="00E56D6F">
      <w:pPr>
        <w:pStyle w:val="a3"/>
        <w:rPr>
          <w:spacing w:val="0"/>
        </w:rPr>
      </w:pPr>
    </w:p>
    <w:p w14:paraId="22976862" w14:textId="77777777" w:rsidR="00E56D6F" w:rsidRDefault="00E56D6F">
      <w:pPr>
        <w:pStyle w:val="a3"/>
        <w:rPr>
          <w:spacing w:val="0"/>
        </w:rPr>
      </w:pPr>
    </w:p>
    <w:p w14:paraId="258C44DB" w14:textId="77777777" w:rsidR="00E56D6F" w:rsidRDefault="00E56D6F">
      <w:pPr>
        <w:pStyle w:val="a3"/>
        <w:rPr>
          <w:spacing w:val="0"/>
        </w:rPr>
      </w:pPr>
    </w:p>
    <w:p w14:paraId="113A4374" w14:textId="77777777" w:rsidR="00E56D6F" w:rsidRDefault="00E56D6F">
      <w:pPr>
        <w:pStyle w:val="a3"/>
        <w:rPr>
          <w:spacing w:val="0"/>
        </w:rPr>
      </w:pPr>
    </w:p>
    <w:p w14:paraId="033A6DF8" w14:textId="77777777" w:rsidR="00E56D6F" w:rsidRDefault="00E56D6F">
      <w:pPr>
        <w:pStyle w:val="a3"/>
        <w:rPr>
          <w:spacing w:val="0"/>
        </w:rPr>
      </w:pPr>
    </w:p>
    <w:p w14:paraId="739978BD" w14:textId="77777777" w:rsidR="00E56D6F" w:rsidRDefault="00E56D6F">
      <w:pPr>
        <w:pStyle w:val="a3"/>
        <w:rPr>
          <w:spacing w:val="0"/>
        </w:rPr>
      </w:pPr>
    </w:p>
    <w:p w14:paraId="61B9ECF6" w14:textId="77777777" w:rsidR="00E56D6F" w:rsidRDefault="00E56D6F">
      <w:pPr>
        <w:pStyle w:val="a3"/>
        <w:rPr>
          <w:spacing w:val="0"/>
        </w:rPr>
      </w:pPr>
    </w:p>
    <w:p w14:paraId="34C48557" w14:textId="77777777" w:rsidR="00E56D6F" w:rsidRDefault="00E56D6F">
      <w:pPr>
        <w:pStyle w:val="a3"/>
        <w:rPr>
          <w:spacing w:val="0"/>
        </w:rPr>
      </w:pPr>
    </w:p>
    <w:p w14:paraId="723C2AA0" w14:textId="77777777" w:rsidR="00E56D6F" w:rsidRDefault="00E56D6F">
      <w:pPr>
        <w:pStyle w:val="a3"/>
        <w:rPr>
          <w:spacing w:val="0"/>
        </w:rPr>
      </w:pPr>
    </w:p>
    <w:p w14:paraId="093C3C08" w14:textId="77777777" w:rsidR="00E56D6F" w:rsidRDefault="00E56D6F">
      <w:pPr>
        <w:pStyle w:val="a3"/>
        <w:rPr>
          <w:spacing w:val="0"/>
        </w:rPr>
      </w:pPr>
    </w:p>
    <w:p w14:paraId="66D7B4C7" w14:textId="77777777" w:rsidR="00E56D6F" w:rsidRDefault="00E56D6F">
      <w:pPr>
        <w:pStyle w:val="a3"/>
        <w:rPr>
          <w:spacing w:val="0"/>
        </w:rPr>
      </w:pPr>
    </w:p>
    <w:p w14:paraId="7C3F2722" w14:textId="77777777" w:rsidR="00E56D6F" w:rsidRDefault="00E56D6F">
      <w:pPr>
        <w:pStyle w:val="a3"/>
        <w:rPr>
          <w:spacing w:val="0"/>
        </w:rPr>
      </w:pPr>
    </w:p>
    <w:p w14:paraId="1DCD3253" w14:textId="77777777" w:rsidR="00E56D6F" w:rsidRDefault="00E56D6F">
      <w:pPr>
        <w:pStyle w:val="a3"/>
        <w:rPr>
          <w:spacing w:val="0"/>
        </w:rPr>
      </w:pPr>
    </w:p>
    <w:p w14:paraId="64104E13" w14:textId="77777777" w:rsidR="00E56D6F" w:rsidRDefault="00E56D6F">
      <w:pPr>
        <w:pStyle w:val="a3"/>
        <w:rPr>
          <w:spacing w:val="0"/>
        </w:rPr>
      </w:pPr>
    </w:p>
    <w:p w14:paraId="60902A62" w14:textId="77777777" w:rsidR="00E56D6F" w:rsidRDefault="00E56D6F">
      <w:pPr>
        <w:pStyle w:val="a3"/>
        <w:rPr>
          <w:spacing w:val="0"/>
        </w:rPr>
      </w:pPr>
    </w:p>
    <w:p w14:paraId="15B6D8A2" w14:textId="77777777" w:rsidR="00E56D6F" w:rsidRDefault="00E56D6F">
      <w:pPr>
        <w:pStyle w:val="a3"/>
        <w:rPr>
          <w:spacing w:val="0"/>
        </w:rPr>
      </w:pPr>
    </w:p>
    <w:p w14:paraId="22A168F7" w14:textId="77777777" w:rsidR="00E56D6F" w:rsidRDefault="00E56D6F">
      <w:pPr>
        <w:pStyle w:val="a3"/>
        <w:rPr>
          <w:spacing w:val="0"/>
        </w:rPr>
      </w:pPr>
    </w:p>
    <w:p w14:paraId="2544825B" w14:textId="77777777" w:rsidR="00E56D6F" w:rsidRDefault="00E56D6F">
      <w:pPr>
        <w:pStyle w:val="a3"/>
        <w:rPr>
          <w:spacing w:val="0"/>
        </w:rPr>
      </w:pPr>
    </w:p>
    <w:p w14:paraId="5049A07E" w14:textId="77777777" w:rsidR="00E56D6F" w:rsidRDefault="00E56D6F">
      <w:pPr>
        <w:pStyle w:val="a3"/>
        <w:rPr>
          <w:spacing w:val="0"/>
        </w:rPr>
      </w:pPr>
    </w:p>
    <w:p w14:paraId="339EEDE5" w14:textId="77777777" w:rsidR="00E56D6F" w:rsidRDefault="00E56D6F">
      <w:pPr>
        <w:pStyle w:val="a3"/>
        <w:rPr>
          <w:spacing w:val="0"/>
        </w:rPr>
      </w:pPr>
    </w:p>
    <w:p w14:paraId="73194826" w14:textId="77777777" w:rsidR="00E56D6F" w:rsidRDefault="00E56D6F">
      <w:pPr>
        <w:pStyle w:val="a3"/>
        <w:rPr>
          <w:spacing w:val="0"/>
        </w:rPr>
      </w:pPr>
    </w:p>
    <w:p w14:paraId="2BF1D177" w14:textId="77777777" w:rsidR="00E56D6F" w:rsidRDefault="00E56D6F">
      <w:pPr>
        <w:pStyle w:val="a3"/>
        <w:rPr>
          <w:spacing w:val="0"/>
        </w:rPr>
      </w:pPr>
    </w:p>
    <w:p w14:paraId="76FD9F37" w14:textId="77777777" w:rsidR="00E56D6F" w:rsidRDefault="00E56D6F">
      <w:pPr>
        <w:pStyle w:val="a3"/>
        <w:rPr>
          <w:spacing w:val="0"/>
        </w:rPr>
      </w:pPr>
    </w:p>
    <w:p w14:paraId="7AD1EAC7" w14:textId="77777777" w:rsidR="00E56D6F" w:rsidRDefault="00E56D6F">
      <w:pPr>
        <w:pStyle w:val="a3"/>
        <w:rPr>
          <w:spacing w:val="0"/>
        </w:rPr>
      </w:pPr>
    </w:p>
    <w:p w14:paraId="6228C06A" w14:textId="77777777" w:rsidR="00E56D6F" w:rsidRDefault="00E56D6F">
      <w:pPr>
        <w:pStyle w:val="a3"/>
        <w:rPr>
          <w:spacing w:val="0"/>
        </w:rPr>
      </w:pPr>
    </w:p>
    <w:p w14:paraId="506A808B" w14:textId="77777777" w:rsidR="00E56D6F" w:rsidRDefault="00E56D6F">
      <w:pPr>
        <w:pStyle w:val="a3"/>
        <w:rPr>
          <w:spacing w:val="0"/>
        </w:rPr>
      </w:pPr>
    </w:p>
    <w:p w14:paraId="20D22CC4" w14:textId="77777777" w:rsidR="00E56D6F" w:rsidRDefault="00E56D6F">
      <w:pPr>
        <w:pStyle w:val="a3"/>
        <w:rPr>
          <w:spacing w:val="0"/>
        </w:rPr>
      </w:pPr>
    </w:p>
    <w:p w14:paraId="3A0C0DA1" w14:textId="77777777" w:rsidR="00E56D6F" w:rsidRDefault="00E56D6F">
      <w:pPr>
        <w:pStyle w:val="a3"/>
        <w:rPr>
          <w:spacing w:val="0"/>
        </w:rPr>
      </w:pPr>
    </w:p>
    <w:p w14:paraId="7B73BCB1" w14:textId="77777777" w:rsidR="00E56D6F" w:rsidRDefault="00E56D6F">
      <w:pPr>
        <w:pStyle w:val="a3"/>
        <w:rPr>
          <w:spacing w:val="0"/>
        </w:rPr>
      </w:pPr>
    </w:p>
    <w:p w14:paraId="221ABF06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>＜参考＞</w:t>
      </w:r>
    </w:p>
    <w:p w14:paraId="771F123B" w14:textId="77777777" w:rsidR="00E56D6F" w:rsidRDefault="00E56D6F">
      <w:pPr>
        <w:pStyle w:val="a3"/>
        <w:rPr>
          <w:spacing w:val="0"/>
        </w:rPr>
      </w:pPr>
    </w:p>
    <w:p w14:paraId="7E0B6574" w14:textId="77777777" w:rsidR="00E56D6F" w:rsidRDefault="00E56D6F">
      <w:pPr>
        <w:pStyle w:val="a3"/>
        <w:rPr>
          <w:spacing w:val="0"/>
        </w:rPr>
      </w:pPr>
    </w:p>
    <w:p w14:paraId="16401572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>＜過去勤務期間の通算制度＞</w:t>
      </w:r>
    </w:p>
    <w:p w14:paraId="33836518" w14:textId="77777777" w:rsidR="00E56D6F" w:rsidRDefault="00E56D6F">
      <w:pPr>
        <w:pStyle w:val="a3"/>
        <w:rPr>
          <w:spacing w:val="0"/>
        </w:rPr>
      </w:pPr>
    </w:p>
    <w:p w14:paraId="52CA29C7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この制度に加入する際，すでに</w:t>
      </w:r>
      <w:r>
        <w:rPr>
          <w:rFonts w:eastAsia="Times New Roman" w:cs="Times New Roman"/>
        </w:rPr>
        <w:t>1</w:t>
      </w:r>
      <w:r w:rsidR="004E26BD">
        <w:rPr>
          <w:rFonts w:ascii="ＭＳ 明朝" w:hAnsi="ＭＳ 明朝" w:hint="eastAsia"/>
        </w:rPr>
        <w:t>年以上勤務している従業員について，加入前の勤務</w:t>
      </w:r>
      <w:r>
        <w:rPr>
          <w:rFonts w:ascii="ＭＳ 明朝" w:hAnsi="ＭＳ 明朝" w:hint="eastAsia"/>
        </w:rPr>
        <w:t>期間を通算するこ</w:t>
      </w:r>
      <w:r w:rsidR="004E26BD">
        <w:rPr>
          <w:rFonts w:ascii="ＭＳ 明朝" w:hAnsi="ＭＳ 明朝" w:hint="eastAsia"/>
        </w:rPr>
        <w:t>とができる。この手続きは本契約の申込み（新規に本制度に加入する</w:t>
      </w:r>
      <w:r>
        <w:rPr>
          <w:rFonts w:ascii="ＭＳ 明朝" w:hAnsi="ＭＳ 明朝" w:hint="eastAsia"/>
        </w:rPr>
        <w:t>企業に限る。）と</w:t>
      </w:r>
      <w:r w:rsidR="004E26BD">
        <w:rPr>
          <w:rFonts w:ascii="ＭＳ 明朝" w:hAnsi="ＭＳ 明朝" w:hint="eastAsia"/>
        </w:rPr>
        <w:t>同時に申し出ることになっており，契約の申込みをする従業員全員を</w:t>
      </w:r>
      <w:r>
        <w:rPr>
          <w:rFonts w:ascii="ＭＳ 明朝" w:hAnsi="ＭＳ 明朝" w:hint="eastAsia"/>
        </w:rPr>
        <w:t>対象にすることになっている。</w:t>
      </w:r>
    </w:p>
    <w:p w14:paraId="30B18BE3" w14:textId="77777777" w:rsidR="00E56D6F" w:rsidRDefault="00E56D6F">
      <w:pPr>
        <w:pStyle w:val="a3"/>
        <w:rPr>
          <w:spacing w:val="0"/>
        </w:rPr>
      </w:pPr>
    </w:p>
    <w:p w14:paraId="26506014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（１）通算できる過去勤務時間</w:t>
      </w:r>
    </w:p>
    <w:p w14:paraId="7482A638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採用の日から本契約成立の</w:t>
      </w:r>
      <w:proofErr w:type="gramStart"/>
      <w:r>
        <w:rPr>
          <w:rFonts w:ascii="ＭＳ 明朝" w:hAnsi="ＭＳ 明朝" w:hint="eastAsia"/>
        </w:rPr>
        <w:t>前日までの継続して</w:t>
      </w:r>
      <w:proofErr w:type="gramEnd"/>
      <w:r>
        <w:rPr>
          <w:rFonts w:ascii="ＭＳ 明朝" w:hAnsi="ＭＳ 明朝" w:hint="eastAsia"/>
        </w:rPr>
        <w:t>雇用された期間（休職期間等は除く。）　が対象で，この期間が１０年を超える場合は１０年を限度とする。</w:t>
      </w:r>
    </w:p>
    <w:p w14:paraId="532FB312" w14:textId="77777777" w:rsidR="00E56D6F" w:rsidRDefault="00E56D6F">
      <w:pPr>
        <w:pStyle w:val="a3"/>
        <w:rPr>
          <w:spacing w:val="0"/>
        </w:rPr>
      </w:pPr>
    </w:p>
    <w:p w14:paraId="67F595C6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（２）過去勤務通算月額の種類</w:t>
      </w:r>
    </w:p>
    <w:p w14:paraId="537FBDC5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本契約の申込金額と同額以下で，下記の金額の中から決める。</w:t>
      </w:r>
    </w:p>
    <w:p w14:paraId="66A01D88" w14:textId="77777777" w:rsidR="00E56D6F" w:rsidRDefault="00E56D6F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pacing w:val="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 xml:space="preserve">5,000円　　　6,000円　　　</w:t>
      </w:r>
      <w:r>
        <w:rPr>
          <w:rFonts w:ascii="ＭＳ Ｐゴシック" w:eastAsia="ＭＳ Ｐゴシック" w:hAnsi="ＭＳ Ｐゴシック" w:cs="ＭＳ Ｐゴシック" w:hint="eastAsia"/>
          <w:spacing w:val="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7,000円　　　8,000円　　　9,000円　　　10,000円</w:t>
      </w:r>
    </w:p>
    <w:p w14:paraId="2799EAFC" w14:textId="77777777" w:rsidR="00E56D6F" w:rsidRDefault="00E56D6F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12,000円　</w:t>
      </w:r>
      <w:r>
        <w:rPr>
          <w:rFonts w:ascii="ＭＳ Ｐゴシック" w:eastAsia="ＭＳ Ｐゴシック" w:hAnsi="ＭＳ Ｐゴシック" w:cs="ＭＳ Ｐゴシック" w:hint="eastAsia"/>
          <w:spacing w:val="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 xml:space="preserve">　14,000円　　　16,000円　　</w:t>
      </w:r>
      <w:r>
        <w:rPr>
          <w:rFonts w:ascii="ＭＳ Ｐゴシック" w:eastAsia="ＭＳ Ｐゴシック" w:hAnsi="ＭＳ Ｐゴシック" w:cs="ＭＳ Ｐゴシック" w:hint="eastAsia"/>
          <w:spacing w:val="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 xml:space="preserve">18,000円　　</w:t>
      </w:r>
      <w:r>
        <w:rPr>
          <w:rFonts w:ascii="ＭＳ Ｐゴシック" w:eastAsia="ＭＳ Ｐゴシック" w:hAnsi="ＭＳ Ｐゴシック" w:cs="ＭＳ Ｐゴシック" w:hint="eastAsia"/>
          <w:spacing w:val="6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20,000円　　　22,000円</w:t>
      </w:r>
    </w:p>
    <w:p w14:paraId="56D893B2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4DA6FED0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（３）過去勤務掛金月額及び納付期間</w:t>
      </w:r>
    </w:p>
    <w:p w14:paraId="1A8A41AA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過去勤務掛金月額（過去勤務通算のために，本体掛金とは別に毎月納付する掛金額）　　は，次により算定される額で，この額を下表の期間納付する。</w:t>
      </w:r>
    </w:p>
    <w:p w14:paraId="4505D0E7" w14:textId="77777777" w:rsidR="00E56D6F" w:rsidRDefault="00E56D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なお，この加入時に算定された額は通算完了時まで変更されない。</w:t>
      </w:r>
    </w:p>
    <w:p w14:paraId="0B2C05F6" w14:textId="77777777" w:rsidR="00E56D6F" w:rsidRDefault="00E56D6F">
      <w:pPr>
        <w:pStyle w:val="a3"/>
        <w:rPr>
          <w:spacing w:val="0"/>
        </w:rPr>
      </w:pPr>
    </w:p>
    <w:p w14:paraId="32ED7241" w14:textId="77777777" w:rsidR="00E56D6F" w:rsidRDefault="00E56D6F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6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＜過去勤務掛金月額＞＝＜過去勤務通算月額＞</w:t>
      </w:r>
    </w:p>
    <w:p w14:paraId="5A44F0D1" w14:textId="77777777" w:rsidR="00E56D6F" w:rsidRDefault="00E56D6F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×＜下表の掛金率＋厚生労働大臣の定める率＞</w:t>
      </w:r>
    </w:p>
    <w:p w14:paraId="21D76D86" w14:textId="77777777" w:rsidR="00E56D6F" w:rsidRDefault="00E56D6F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1534"/>
        <w:gridCol w:w="826"/>
        <w:gridCol w:w="826"/>
        <w:gridCol w:w="826"/>
        <w:gridCol w:w="826"/>
        <w:gridCol w:w="708"/>
        <w:gridCol w:w="708"/>
        <w:gridCol w:w="708"/>
        <w:gridCol w:w="708"/>
        <w:gridCol w:w="708"/>
        <w:gridCol w:w="708"/>
      </w:tblGrid>
      <w:tr w:rsidR="00E56D6F" w:rsidRPr="00FC2EB1" w14:paraId="522301D7" w14:textId="77777777">
        <w:trPr>
          <w:trHeight w:hRule="exact" w:val="35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0918139" w14:textId="77777777" w:rsidR="00E56D6F" w:rsidRDefault="00E56D6F">
            <w:pPr>
              <w:pStyle w:val="a3"/>
              <w:rPr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5DA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過去勤務期間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45667C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１年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79782A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２年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03CA4A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３年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7422FE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４年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6F4743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５年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0DAFC8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６年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1D4859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７年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6D5D1E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８年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9A191F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９年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C29034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10年</w:t>
            </w:r>
          </w:p>
        </w:tc>
      </w:tr>
      <w:tr w:rsidR="00E56D6F" w:rsidRPr="00FC2EB1" w14:paraId="313843E9" w14:textId="77777777">
        <w:trPr>
          <w:trHeight w:hRule="exact" w:val="361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40A84FA" w14:textId="77777777" w:rsidR="00E56D6F" w:rsidRDefault="00E56D6F">
            <w:pPr>
              <w:pStyle w:val="a3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9C2590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掛</w:t>
            </w: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金</w:t>
            </w: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率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59EEBC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1.01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42891F1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1.02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37396E7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1.03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470F947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1.04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D17FF12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1.05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CA12D0D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1.27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E4A51EB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1.49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4358A80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1.71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50F1A14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1.93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F685958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2.16</w:t>
            </w:r>
          </w:p>
        </w:tc>
      </w:tr>
      <w:tr w:rsidR="00E56D6F" w:rsidRPr="00FC2EB1" w14:paraId="5B50F939" w14:textId="77777777">
        <w:trPr>
          <w:trHeight w:hRule="exact" w:val="361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6920B4C" w14:textId="77777777" w:rsidR="00E56D6F" w:rsidRDefault="00E56D6F">
            <w:pPr>
              <w:pStyle w:val="a3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C851A7" w14:textId="77777777" w:rsidR="00E56D6F" w:rsidRDefault="00E56D6F">
            <w:pPr>
              <w:pStyle w:val="a3"/>
              <w:rPr>
                <w:spacing w:val="0"/>
              </w:rPr>
            </w:pPr>
          </w:p>
        </w:tc>
        <w:tc>
          <w:tcPr>
            <w:tcW w:w="7552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154DA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11"/>
                <w:sz w:val="18"/>
                <w:szCs w:val="18"/>
              </w:rPr>
              <w:t>掛金率は，上記の率に厚生労働大臣の定めるその年度の率を加えたものです。</w:t>
            </w:r>
          </w:p>
        </w:tc>
      </w:tr>
      <w:tr w:rsidR="00E56D6F" w:rsidRPr="00FC2EB1" w14:paraId="6230A3BE" w14:textId="77777777">
        <w:trPr>
          <w:trHeight w:hRule="exact" w:val="361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C75EB3B" w14:textId="77777777" w:rsidR="00E56D6F" w:rsidRDefault="00E56D6F">
            <w:pPr>
              <w:pStyle w:val="a3"/>
              <w:rPr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CE0302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納付期間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55FF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12月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DCB30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24月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8C914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36月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6D988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48月</w:t>
            </w:r>
          </w:p>
        </w:tc>
        <w:tc>
          <w:tcPr>
            <w:tcW w:w="42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42B5E" w14:textId="77777777" w:rsidR="00E56D6F" w:rsidRDefault="00E56D6F">
            <w:pPr>
              <w:pStyle w:val="a3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               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60月</w:t>
            </w:r>
          </w:p>
        </w:tc>
      </w:tr>
    </w:tbl>
    <w:p w14:paraId="7F068DC1" w14:textId="77777777" w:rsidR="00E56D6F" w:rsidRDefault="00E56D6F">
      <w:pPr>
        <w:pStyle w:val="a3"/>
        <w:rPr>
          <w:spacing w:val="0"/>
        </w:rPr>
      </w:pPr>
    </w:p>
    <w:p w14:paraId="39792E3C" w14:textId="77777777" w:rsidR="00E56D6F" w:rsidRDefault="00E56D6F">
      <w:pPr>
        <w:pStyle w:val="a3"/>
        <w:rPr>
          <w:spacing w:val="0"/>
        </w:rPr>
      </w:pPr>
    </w:p>
    <w:sectPr w:rsidR="00E56D6F" w:rsidSect="00E56D6F">
      <w:pgSz w:w="11906" w:h="16838"/>
      <w:pgMar w:top="1191" w:right="1168" w:bottom="1020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5025" w14:textId="77777777" w:rsidR="005C5CAE" w:rsidRDefault="005C5CAE" w:rsidP="00855179">
      <w:r>
        <w:separator/>
      </w:r>
    </w:p>
  </w:endnote>
  <w:endnote w:type="continuationSeparator" w:id="0">
    <w:p w14:paraId="7CB7D87C" w14:textId="77777777" w:rsidR="005C5CAE" w:rsidRDefault="005C5CAE" w:rsidP="0085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5DB7" w14:textId="77777777" w:rsidR="005C5CAE" w:rsidRDefault="005C5CAE" w:rsidP="00855179">
      <w:r>
        <w:separator/>
      </w:r>
    </w:p>
  </w:footnote>
  <w:footnote w:type="continuationSeparator" w:id="0">
    <w:p w14:paraId="2F2ED4FC" w14:textId="77777777" w:rsidR="005C5CAE" w:rsidRDefault="005C5CAE" w:rsidP="0085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6D6F"/>
    <w:rsid w:val="000C0B1F"/>
    <w:rsid w:val="000C7861"/>
    <w:rsid w:val="00290C46"/>
    <w:rsid w:val="002A784E"/>
    <w:rsid w:val="0041347C"/>
    <w:rsid w:val="004E26BD"/>
    <w:rsid w:val="005C5CAE"/>
    <w:rsid w:val="007A6329"/>
    <w:rsid w:val="00855179"/>
    <w:rsid w:val="00D176A6"/>
    <w:rsid w:val="00DC4968"/>
    <w:rsid w:val="00DD2BAF"/>
    <w:rsid w:val="00E56D6F"/>
    <w:rsid w:val="00E63296"/>
    <w:rsid w:val="00F17EA6"/>
    <w:rsid w:val="00F92AEA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164FC"/>
  <w15:docId w15:val="{3A90FE33-6F38-4E95-8057-3BFE94C8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55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179"/>
  </w:style>
  <w:style w:type="paragraph" w:styleId="a6">
    <w:name w:val="footer"/>
    <w:basedOn w:val="a"/>
    <w:link w:val="a7"/>
    <w:uiPriority w:val="99"/>
    <w:unhideWhenUsed/>
    <w:rsid w:val="00855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179"/>
  </w:style>
  <w:style w:type="paragraph" w:styleId="a8">
    <w:name w:val="Balloon Text"/>
    <w:basedOn w:val="a"/>
    <w:link w:val="a9"/>
    <w:uiPriority w:val="99"/>
    <w:semiHidden/>
    <w:unhideWhenUsed/>
    <w:rsid w:val="007A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jin1</dc:creator>
  <cp:lastModifiedBy>azuhata いばらき腎臓財団</cp:lastModifiedBy>
  <cp:revision>14</cp:revision>
  <cp:lastPrinted>2014-05-26T01:13:00Z</cp:lastPrinted>
  <dcterms:created xsi:type="dcterms:W3CDTF">2014-01-28T05:17:00Z</dcterms:created>
  <dcterms:modified xsi:type="dcterms:W3CDTF">2026-03-11T04:12:00Z</dcterms:modified>
</cp:coreProperties>
</file>